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EF227E" w:rsidRDefault="00A71632" w:rsidP="00EF227E">
      <w:pPr>
        <w:rPr>
          <w:lang w:val="fr-FR"/>
        </w:rPr>
      </w:pPr>
      <w:bookmarkStart w:id="0" w:name="_GoBack"/>
      <w:bookmarkEnd w:id="0"/>
    </w:p>
    <w:p w:rsidR="00A71632" w:rsidRPr="00EF227E" w:rsidRDefault="000C3142" w:rsidP="00EF227E">
      <w:pPr>
        <w:pStyle w:val="DecHTitle"/>
        <w:rPr>
          <w:lang w:val="fr-FR"/>
        </w:rPr>
      </w:pPr>
      <w:r w:rsidRPr="00EF227E">
        <w:rPr>
          <w:szCs w:val="24"/>
          <w:lang w:val="fr-FR"/>
        </w:rPr>
        <w:t>PREMIÈRE SECTION</w:t>
      </w:r>
    </w:p>
    <w:p w:rsidR="00A71632" w:rsidRPr="00EF227E" w:rsidRDefault="00A71632" w:rsidP="00EF227E">
      <w:pPr>
        <w:pStyle w:val="DecHTitle"/>
        <w:rPr>
          <w:caps/>
          <w:sz w:val="32"/>
          <w:lang w:val="fr-FR"/>
        </w:rPr>
      </w:pPr>
      <w:r w:rsidRPr="00EF227E">
        <w:rPr>
          <w:lang w:val="fr-FR"/>
        </w:rPr>
        <w:t>DÉCISION</w:t>
      </w:r>
    </w:p>
    <w:p w:rsidR="00A71632" w:rsidRPr="00EF227E" w:rsidRDefault="000C3142" w:rsidP="00EF227E">
      <w:pPr>
        <w:pStyle w:val="ECHRTitleCentre2"/>
        <w:rPr>
          <w:lang w:val="fr-FR"/>
        </w:rPr>
      </w:pPr>
      <w:r w:rsidRPr="00EF227E">
        <w:rPr>
          <w:lang w:val="fr-FR"/>
        </w:rPr>
        <w:t>Requête n</w:t>
      </w:r>
      <w:r w:rsidRPr="00EF227E">
        <w:rPr>
          <w:vertAlign w:val="superscript"/>
          <w:lang w:val="fr-FR"/>
        </w:rPr>
        <w:t>o</w:t>
      </w:r>
      <w:r w:rsidR="00A7338E" w:rsidRPr="00EF227E">
        <w:rPr>
          <w:lang w:val="fr-FR"/>
        </w:rPr>
        <w:t xml:space="preserve"> </w:t>
      </w:r>
      <w:r w:rsidRPr="00EF227E">
        <w:rPr>
          <w:lang w:val="fr-FR"/>
        </w:rPr>
        <w:t>24318/11</w:t>
      </w:r>
      <w:r w:rsidR="00A7338E" w:rsidRPr="00EF227E">
        <w:rPr>
          <w:lang w:val="fr-FR"/>
        </w:rPr>
        <w:br/>
      </w:r>
      <w:r w:rsidRPr="00EF227E">
        <w:rPr>
          <w:lang w:val="fr-FR"/>
        </w:rPr>
        <w:t>Angelo</w:t>
      </w:r>
      <w:r w:rsidR="00A7338E" w:rsidRPr="00EF227E">
        <w:rPr>
          <w:lang w:val="fr-FR"/>
        </w:rPr>
        <w:t xml:space="preserve"> </w:t>
      </w:r>
      <w:r w:rsidRPr="00EF227E">
        <w:rPr>
          <w:lang w:val="fr-FR"/>
        </w:rPr>
        <w:t xml:space="preserve">NARDI </w:t>
      </w:r>
      <w:r w:rsidR="00A7338E" w:rsidRPr="00EF227E">
        <w:rPr>
          <w:lang w:val="fr-FR"/>
        </w:rPr>
        <w:t xml:space="preserve">contre </w:t>
      </w:r>
      <w:r w:rsidRPr="00EF227E">
        <w:rPr>
          <w:lang w:val="fr-FR"/>
        </w:rPr>
        <w:t>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Italie</w:t>
      </w:r>
      <w:r w:rsidR="00240AE5" w:rsidRPr="00EF227E">
        <w:rPr>
          <w:lang w:val="fr-FR"/>
        </w:rPr>
        <w:br/>
      </w:r>
      <w:r w:rsidRPr="00EF227E">
        <w:rPr>
          <w:lang w:val="fr-FR"/>
        </w:rPr>
        <w:t>et 2 autres requêtes</w:t>
      </w:r>
      <w:r w:rsidR="00EF227E" w:rsidRPr="00EF227E">
        <w:rPr>
          <w:lang w:val="fr-FR"/>
        </w:rPr>
        <w:br/>
      </w:r>
      <w:r w:rsidRPr="00EF227E">
        <w:rPr>
          <w:lang w:val="fr-FR"/>
        </w:rPr>
        <w:t>(voir liste en annexe)</w:t>
      </w:r>
    </w:p>
    <w:p w:rsidR="00A71632" w:rsidRPr="00EF227E" w:rsidRDefault="00A71632" w:rsidP="00EF227E">
      <w:pPr>
        <w:pStyle w:val="ECHRPara"/>
        <w:rPr>
          <w:lang w:val="fr-FR"/>
        </w:rPr>
      </w:pPr>
      <w:r w:rsidRPr="00EF227E">
        <w:rPr>
          <w:lang w:val="fr-FR"/>
        </w:rPr>
        <w:t>La Cour européenne des droits de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homme</w:t>
      </w:r>
      <w:r w:rsidR="000C3142" w:rsidRPr="00EF227E">
        <w:rPr>
          <w:lang w:val="fr-FR"/>
        </w:rPr>
        <w:t xml:space="preserve"> (première section)</w:t>
      </w:r>
      <w:r w:rsidRPr="00EF227E">
        <w:rPr>
          <w:lang w:val="fr-FR"/>
        </w:rPr>
        <w:t xml:space="preserve">, siégeant le </w:t>
      </w:r>
      <w:r w:rsidR="000C3142" w:rsidRPr="00EF227E">
        <w:rPr>
          <w:lang w:val="fr-FR"/>
        </w:rPr>
        <w:t>13 décembre 2018</w:t>
      </w:r>
      <w:r w:rsidRPr="00EF227E">
        <w:rPr>
          <w:lang w:val="fr-FR"/>
        </w:rPr>
        <w:t xml:space="preserve"> en </w:t>
      </w:r>
      <w:r w:rsidR="000C3142" w:rsidRPr="00EF227E">
        <w:rPr>
          <w:lang w:val="fr-FR"/>
        </w:rPr>
        <w:t xml:space="preserve">un comité composé </w:t>
      </w:r>
      <w:r w:rsidRPr="00EF227E">
        <w:rPr>
          <w:lang w:val="fr-FR"/>
        </w:rPr>
        <w:t>de :</w:t>
      </w:r>
    </w:p>
    <w:p w:rsidR="000C3142" w:rsidRPr="00EF227E" w:rsidRDefault="000C3142" w:rsidP="00EF227E">
      <w:pPr>
        <w:pStyle w:val="ECHRDecisionBody"/>
        <w:rPr>
          <w:lang w:val="fr-FR"/>
        </w:rPr>
      </w:pPr>
      <w:r w:rsidRPr="00EF227E">
        <w:rPr>
          <w:lang w:val="fr-FR"/>
        </w:rPr>
        <w:tab/>
      </w:r>
      <w:proofErr w:type="spellStart"/>
      <w:r w:rsidRPr="00EF227E">
        <w:rPr>
          <w:lang w:val="fr-FR"/>
        </w:rPr>
        <w:t>Aleš</w:t>
      </w:r>
      <w:proofErr w:type="spellEnd"/>
      <w:r w:rsidRPr="00EF227E">
        <w:rPr>
          <w:lang w:val="fr-FR"/>
        </w:rPr>
        <w:t xml:space="preserve"> </w:t>
      </w:r>
      <w:proofErr w:type="spellStart"/>
      <w:r w:rsidRPr="00EF227E">
        <w:rPr>
          <w:lang w:val="fr-FR"/>
        </w:rPr>
        <w:t>Pejchal</w:t>
      </w:r>
      <w:proofErr w:type="spellEnd"/>
      <w:r w:rsidRPr="00EF227E">
        <w:rPr>
          <w:lang w:val="fr-FR"/>
        </w:rPr>
        <w:t>,</w:t>
      </w:r>
      <w:r w:rsidRPr="00EF227E">
        <w:rPr>
          <w:i/>
          <w:lang w:val="fr-FR"/>
        </w:rPr>
        <w:t xml:space="preserve"> président,</w:t>
      </w:r>
      <w:r w:rsidRPr="00EF227E">
        <w:rPr>
          <w:i/>
          <w:lang w:val="fr-FR"/>
        </w:rPr>
        <w:br/>
      </w:r>
      <w:r w:rsidRPr="00EF227E">
        <w:rPr>
          <w:lang w:val="fr-FR"/>
        </w:rPr>
        <w:tab/>
        <w:t xml:space="preserve">Jovan </w:t>
      </w:r>
      <w:proofErr w:type="spellStart"/>
      <w:r w:rsidRPr="00EF227E">
        <w:rPr>
          <w:lang w:val="fr-FR"/>
        </w:rPr>
        <w:t>Ilievski</w:t>
      </w:r>
      <w:proofErr w:type="spellEnd"/>
      <w:r w:rsidRPr="00EF227E">
        <w:rPr>
          <w:lang w:val="fr-FR"/>
        </w:rPr>
        <w:t>,</w:t>
      </w:r>
      <w:r w:rsidRPr="00EF227E">
        <w:rPr>
          <w:i/>
          <w:lang w:val="fr-FR"/>
        </w:rPr>
        <w:br/>
      </w:r>
      <w:r w:rsidRPr="00EF227E">
        <w:rPr>
          <w:lang w:val="fr-FR"/>
        </w:rPr>
        <w:tab/>
        <w:t xml:space="preserve">Gilberto </w:t>
      </w:r>
      <w:proofErr w:type="spellStart"/>
      <w:r w:rsidRPr="00EF227E">
        <w:rPr>
          <w:lang w:val="fr-FR"/>
        </w:rPr>
        <w:t>Felici</w:t>
      </w:r>
      <w:proofErr w:type="spellEnd"/>
      <w:r w:rsidRPr="00EF227E">
        <w:rPr>
          <w:lang w:val="fr-FR"/>
        </w:rPr>
        <w:t>,</w:t>
      </w:r>
      <w:r w:rsidRPr="00EF227E">
        <w:rPr>
          <w:i/>
          <w:lang w:val="fr-FR"/>
        </w:rPr>
        <w:t xml:space="preserve"> juges,</w:t>
      </w:r>
      <w:r w:rsidRPr="00EF227E">
        <w:rPr>
          <w:i/>
          <w:lang w:val="fr-FR"/>
        </w:rPr>
        <w:br/>
      </w:r>
      <w:r w:rsidRPr="00EF227E">
        <w:rPr>
          <w:lang w:val="fr-FR"/>
        </w:rPr>
        <w:t xml:space="preserve">et de Liv </w:t>
      </w:r>
      <w:proofErr w:type="spellStart"/>
      <w:r w:rsidRPr="00EF227E">
        <w:rPr>
          <w:lang w:val="fr-FR"/>
        </w:rPr>
        <w:t>Tigerstedt</w:t>
      </w:r>
      <w:proofErr w:type="spellEnd"/>
      <w:r w:rsidRPr="00EF227E">
        <w:rPr>
          <w:lang w:val="fr-FR"/>
        </w:rPr>
        <w:t xml:space="preserve">, </w:t>
      </w:r>
      <w:r w:rsidRPr="00EF227E">
        <w:rPr>
          <w:i/>
          <w:iCs/>
          <w:lang w:val="fr-FR"/>
        </w:rPr>
        <w:t xml:space="preserve">greffière adjointe de section </w:t>
      </w:r>
      <w:proofErr w:type="spellStart"/>
      <w:r w:rsidRPr="00EF227E">
        <w:rPr>
          <w:i/>
          <w:iCs/>
          <w:lang w:val="fr-FR"/>
        </w:rPr>
        <w:t>f.f</w:t>
      </w:r>
      <w:proofErr w:type="spellEnd"/>
      <w:r w:rsidRPr="00EF227E">
        <w:rPr>
          <w:i/>
          <w:iCs/>
          <w:lang w:val="fr-FR"/>
        </w:rPr>
        <w:t>.</w:t>
      </w:r>
      <w:r w:rsidRPr="00EF227E">
        <w:rPr>
          <w:lang w:val="fr-FR"/>
        </w:rPr>
        <w:t>,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Vu les requêtes susmentionnées introduites aux dates indiquées dans le</w:t>
      </w:r>
      <w:r w:rsidR="00240AE5" w:rsidRPr="00EF227E">
        <w:rPr>
          <w:lang w:val="fr-FR"/>
        </w:rPr>
        <w:t xml:space="preserve"> </w:t>
      </w:r>
      <w:r w:rsidRPr="00EF227E">
        <w:rPr>
          <w:lang w:val="fr-FR"/>
        </w:rPr>
        <w:t>tableau joint en annexe,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Vu les déclarations du gouvernement défendeur invitant la Cour à rayer</w:t>
      </w:r>
      <w:r w:rsidR="00240AE5" w:rsidRPr="00EF227E">
        <w:rPr>
          <w:lang w:val="fr-FR"/>
        </w:rPr>
        <w:t xml:space="preserve"> </w:t>
      </w:r>
      <w:r w:rsidRPr="00EF227E">
        <w:rPr>
          <w:lang w:val="fr-FR"/>
        </w:rPr>
        <w:t>les requêtes du rôle,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Après en avoir délibéré, rend la décision suivante :</w:t>
      </w:r>
    </w:p>
    <w:p w:rsidR="000C3142" w:rsidRPr="00EF227E" w:rsidRDefault="000C3142" w:rsidP="00EF227E">
      <w:pPr>
        <w:pStyle w:val="ECHRTitle1"/>
        <w:rPr>
          <w:lang w:val="fr-FR"/>
        </w:rPr>
      </w:pPr>
      <w:r w:rsidRPr="00EF227E">
        <w:rPr>
          <w:lang w:val="fr-FR"/>
        </w:rPr>
        <w:t>FAITS ET PROCEDURE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La liste des requérants et de leurs représentants se trouve dans le tableau joint en annexe.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Les griefs que les requérants tiraient de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article 6 § 1 de la Convention (ingérence du législateur par la loi n</w:t>
      </w:r>
      <w:r w:rsidRPr="00EF227E">
        <w:rPr>
          <w:vertAlign w:val="superscript"/>
          <w:lang w:val="fr-FR"/>
        </w:rPr>
        <w:t>o</w:t>
      </w:r>
      <w:r w:rsidRPr="00EF227E">
        <w:rPr>
          <w:lang w:val="fr-FR"/>
        </w:rPr>
        <w:t xml:space="preserve"> 296/2006 dans une procédure judiciaire) ont été communiqués au gouvernement italien (« le Gouvernement »).</w:t>
      </w:r>
    </w:p>
    <w:p w:rsidR="000C3142" w:rsidRPr="00EF227E" w:rsidRDefault="000C3142" w:rsidP="00EF227E">
      <w:pPr>
        <w:pStyle w:val="ECHRTitle1"/>
        <w:rPr>
          <w:lang w:val="fr-FR"/>
        </w:rPr>
      </w:pPr>
      <w:r w:rsidRPr="00EF227E">
        <w:rPr>
          <w:lang w:val="fr-FR"/>
        </w:rPr>
        <w:t>EN DROIT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Compte tenu de la similitude des requêtes la Cour estime approprié de les</w:t>
      </w:r>
    </w:p>
    <w:p w:rsidR="000C3142" w:rsidRPr="00EF227E" w:rsidRDefault="000C3142" w:rsidP="00EF227E">
      <w:pPr>
        <w:pStyle w:val="ECHRPara"/>
        <w:ind w:firstLine="0"/>
        <w:rPr>
          <w:lang w:val="fr-FR"/>
        </w:rPr>
      </w:pPr>
      <w:r w:rsidRPr="00EF227E">
        <w:rPr>
          <w:lang w:val="fr-FR"/>
        </w:rPr>
        <w:t>examiner conjointement en une seule décision.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lastRenderedPageBreak/>
        <w:t>Le Gouvernement a avisé la Cour qu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il proposait de prononcer des déclarations unilatérales en vue de régler les questions soulevées par ces griefs. Il a en outre invité la Cour à rayer les requêtes du rôle conformément à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article 37 de la Convention.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Le Gouvernement reconnaît que les requérants avaient « subi la violation de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article 6 § 1 de la Convention, selon les principes exprimés par la Cour EDH dans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 xml:space="preserve">affaire </w:t>
      </w:r>
      <w:proofErr w:type="spellStart"/>
      <w:r w:rsidRPr="00EF227E">
        <w:rPr>
          <w:lang w:val="fr-FR"/>
        </w:rPr>
        <w:t>Maggio</w:t>
      </w:r>
      <w:proofErr w:type="spellEnd"/>
      <w:r w:rsidRPr="00EF227E">
        <w:rPr>
          <w:lang w:val="fr-FR"/>
        </w:rPr>
        <w:t xml:space="preserve"> et autres, suite à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intervention rétroactive de la loi n</w:t>
      </w:r>
      <w:r w:rsidRPr="00EF227E">
        <w:rPr>
          <w:vertAlign w:val="superscript"/>
          <w:lang w:val="fr-FR"/>
        </w:rPr>
        <w:t>o</w:t>
      </w:r>
      <w:r w:rsidRPr="00EF227E">
        <w:rPr>
          <w:lang w:val="fr-FR"/>
        </w:rPr>
        <w:t xml:space="preserve"> 296/2006, sur les procédures en cours ». Il offre de verser aux requérants les sommes reproduites dans le tableau joint en annexe et il invite la Cour à rayer les requêtes du rôle conformément à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article 37 § 1 c) de la Convention. Ces sommes seront payables dans un délai de trois mois à compter de la date de la notification de la décision de la Cour. Si elles n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étaient pas versées dans ce délai, le Gouvernement s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engage à les majorer, à compter de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expiration du délai et jusqu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au règlement, d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Le paiement vaudra règlement définitif des affaires.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Les termes des déclarations unilatérales ont été transmis aux requérant plusieurs semaines avant la date de cette décision. La Cour n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 pas reçu de réponse des requérants indiquant qu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ils acceptaient les termes des déclarations.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La Cour rappelle que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article 37 § 1 c) de la Convention lui permet de rayer une affaire du rôle si :</w:t>
      </w:r>
    </w:p>
    <w:p w:rsidR="003562CC" w:rsidRPr="00EF227E" w:rsidRDefault="003562CC" w:rsidP="00EF227E">
      <w:pPr>
        <w:pStyle w:val="ECHRParaQuote"/>
        <w:rPr>
          <w:lang w:val="fr-FR"/>
        </w:rPr>
      </w:pPr>
      <w:r w:rsidRPr="00EF227E">
        <w:rPr>
          <w:lang w:val="fr-FR"/>
        </w:rPr>
        <w:t>« (...) pour tout autre motif dont [elle] constate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existence, il ne se justifie plus de poursuivre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examen de la requête ».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Ainsi, en vertu de cette disposition, la Cour peut rayer des requêtes du rôle sur le fondement d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une déclaration unilatérale du gouvernement défendeur, même si les requérants souhaitent que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 xml:space="preserve">examen de leur affaire se poursuive (voir, en particulier, </w:t>
      </w:r>
      <w:proofErr w:type="spellStart"/>
      <w:r w:rsidRPr="00EF227E">
        <w:rPr>
          <w:i/>
          <w:iCs/>
          <w:lang w:val="fr-FR"/>
        </w:rPr>
        <w:t>Tahsin</w:t>
      </w:r>
      <w:proofErr w:type="spellEnd"/>
      <w:r w:rsidRPr="00EF227E">
        <w:rPr>
          <w:i/>
          <w:iCs/>
          <w:lang w:val="fr-FR"/>
        </w:rPr>
        <w:t xml:space="preserve"> </w:t>
      </w:r>
      <w:proofErr w:type="spellStart"/>
      <w:r w:rsidRPr="00EF227E">
        <w:rPr>
          <w:i/>
          <w:iCs/>
          <w:lang w:val="fr-FR"/>
        </w:rPr>
        <w:t>Acar</w:t>
      </w:r>
      <w:proofErr w:type="spellEnd"/>
      <w:r w:rsidRPr="00EF227E">
        <w:rPr>
          <w:i/>
          <w:iCs/>
          <w:lang w:val="fr-FR"/>
        </w:rPr>
        <w:t xml:space="preserve"> c. Turquie </w:t>
      </w:r>
      <w:r w:rsidRPr="00EF227E">
        <w:rPr>
          <w:lang w:val="fr-FR"/>
        </w:rPr>
        <w:t>(question préliminaire) [GC], no 26307/95, §§ 75-77, CEDH 2003-VI).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La jurisprudence de la Cour concernant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application de la loi d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interprétation authentique n</w:t>
      </w:r>
      <w:r w:rsidRPr="00EF227E">
        <w:rPr>
          <w:vertAlign w:val="superscript"/>
          <w:lang w:val="fr-FR"/>
        </w:rPr>
        <w:t>o</w:t>
      </w:r>
      <w:r w:rsidRPr="00EF227E">
        <w:rPr>
          <w:lang w:val="fr-FR"/>
        </w:rPr>
        <w:t xml:space="preserve"> 296/2006 dans des procédures judiciaires est claire et abondante (voir, par exemple, </w:t>
      </w:r>
      <w:proofErr w:type="spellStart"/>
      <w:r w:rsidRPr="00EF227E">
        <w:rPr>
          <w:i/>
          <w:iCs/>
          <w:lang w:val="fr-FR"/>
        </w:rPr>
        <w:t>Maggio</w:t>
      </w:r>
      <w:proofErr w:type="spellEnd"/>
      <w:r w:rsidRPr="00EF227E">
        <w:rPr>
          <w:i/>
          <w:iCs/>
          <w:lang w:val="fr-FR"/>
        </w:rPr>
        <w:t xml:space="preserve"> et autres c. Italie</w:t>
      </w:r>
      <w:r w:rsidRPr="00EF227E">
        <w:rPr>
          <w:lang w:val="fr-FR"/>
        </w:rPr>
        <w:t>, n</w:t>
      </w:r>
      <w:r w:rsidRPr="00EF227E">
        <w:rPr>
          <w:vertAlign w:val="superscript"/>
          <w:lang w:val="fr-FR"/>
        </w:rPr>
        <w:t>os</w:t>
      </w:r>
      <w:r w:rsidRPr="00EF227E">
        <w:rPr>
          <w:lang w:val="fr-FR"/>
        </w:rPr>
        <w:t xml:space="preserve"> 46286/09 et 4 autres, 31 mai 2011, </w:t>
      </w:r>
      <w:proofErr w:type="spellStart"/>
      <w:r w:rsidRPr="00EF227E">
        <w:rPr>
          <w:i/>
          <w:iCs/>
          <w:lang w:val="fr-FR"/>
        </w:rPr>
        <w:t>Stefanetti</w:t>
      </w:r>
      <w:proofErr w:type="spellEnd"/>
      <w:r w:rsidRPr="00EF227E">
        <w:rPr>
          <w:i/>
          <w:iCs/>
          <w:lang w:val="fr-FR"/>
        </w:rPr>
        <w:t xml:space="preserve"> et autres c. Italie</w:t>
      </w:r>
      <w:r w:rsidRPr="00EF227E">
        <w:rPr>
          <w:lang w:val="fr-FR"/>
        </w:rPr>
        <w:t>, n</w:t>
      </w:r>
      <w:r w:rsidRPr="00EF227E">
        <w:rPr>
          <w:vertAlign w:val="superscript"/>
          <w:lang w:val="fr-FR"/>
        </w:rPr>
        <w:t>os</w:t>
      </w:r>
      <w:r w:rsidRPr="00EF227E">
        <w:rPr>
          <w:lang w:val="fr-FR"/>
        </w:rPr>
        <w:t xml:space="preserve"> 21838/10 et 7 autres, 15 avril 2014, </w:t>
      </w:r>
      <w:proofErr w:type="spellStart"/>
      <w:r w:rsidRPr="00EF227E">
        <w:rPr>
          <w:i/>
          <w:iCs/>
          <w:lang w:val="fr-FR"/>
        </w:rPr>
        <w:t>Cataldo</w:t>
      </w:r>
      <w:proofErr w:type="spellEnd"/>
      <w:r w:rsidRPr="00EF227E">
        <w:rPr>
          <w:i/>
          <w:iCs/>
          <w:lang w:val="fr-FR"/>
        </w:rPr>
        <w:t xml:space="preserve"> et autres c. Italie</w:t>
      </w:r>
      <w:r w:rsidRPr="00EF227E">
        <w:rPr>
          <w:lang w:val="fr-FR"/>
        </w:rPr>
        <w:t>, n</w:t>
      </w:r>
      <w:r w:rsidRPr="00EF227E">
        <w:rPr>
          <w:vertAlign w:val="superscript"/>
          <w:lang w:val="fr-FR"/>
        </w:rPr>
        <w:t>os</w:t>
      </w:r>
      <w:r w:rsidRPr="00EF227E">
        <w:rPr>
          <w:lang w:val="fr-FR"/>
        </w:rPr>
        <w:t xml:space="preserve"> 54425/08 et 5 autres, 24 juin 2014, et </w:t>
      </w:r>
      <w:proofErr w:type="spellStart"/>
      <w:r w:rsidRPr="00EF227E">
        <w:rPr>
          <w:i/>
          <w:iCs/>
          <w:lang w:val="fr-FR"/>
        </w:rPr>
        <w:t>Biraghi</w:t>
      </w:r>
      <w:proofErr w:type="spellEnd"/>
      <w:r w:rsidRPr="00EF227E">
        <w:rPr>
          <w:i/>
          <w:iCs/>
          <w:lang w:val="fr-FR"/>
        </w:rPr>
        <w:t xml:space="preserve"> et autres c. Italie</w:t>
      </w:r>
      <w:r w:rsidRPr="00EF227E">
        <w:rPr>
          <w:lang w:val="fr-FR"/>
        </w:rPr>
        <w:t>, n</w:t>
      </w:r>
      <w:r w:rsidRPr="00EF227E">
        <w:rPr>
          <w:vertAlign w:val="superscript"/>
          <w:lang w:val="fr-FR"/>
        </w:rPr>
        <w:t>os</w:t>
      </w:r>
      <w:r w:rsidRPr="00EF227E">
        <w:rPr>
          <w:lang w:val="fr-FR"/>
        </w:rPr>
        <w:t xml:space="preserve"> 3429/09 et 21 autres, 24 juin 2014).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Eu égard aux concessions que renferment les déclarations du Gouvernement, ainsi qu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au montant des indemnisations proposées (montant qui est conforme à ceux alloués dans des affaires similaires), la Cour estime qu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il ne se justifie plus de poursuivre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examen des requêtes (article 37 § 1 c)</w:t>
      </w:r>
      <w:r w:rsidR="001928C3" w:rsidRPr="00EF227E">
        <w:rPr>
          <w:lang w:val="fr-FR"/>
        </w:rPr>
        <w:t>)</w:t>
      </w:r>
      <w:r w:rsidRPr="00EF227E">
        <w:rPr>
          <w:lang w:val="fr-FR"/>
        </w:rPr>
        <w:t>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lastRenderedPageBreak/>
        <w:t>En outre, à la lumière des considérations qui précèdent, la Cour estime que le respect des droits de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homme garantis par la Convention et ses Protocoles n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exige pas par ailleurs qu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elle poursuive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 xml:space="preserve">examen des requêtes (article 37 § 1 </w:t>
      </w:r>
      <w:r w:rsidRPr="00EF227E">
        <w:rPr>
          <w:i/>
          <w:iCs/>
          <w:lang w:val="fr-FR"/>
        </w:rPr>
        <w:t>in fine</w:t>
      </w:r>
      <w:r w:rsidRPr="00EF227E">
        <w:rPr>
          <w:lang w:val="fr-FR"/>
        </w:rPr>
        <w:t>).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Enfin, la Cour souligne que, dans le cas où le Gouvernement ne respecterait pas les termes de ses déclarations unilatérales, les requêtes pourraient être réinscrites au rôle en vertu de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article 37 § 2 de la Convention (</w:t>
      </w:r>
      <w:proofErr w:type="spellStart"/>
      <w:r w:rsidRPr="00EF227E">
        <w:rPr>
          <w:i/>
          <w:iCs/>
          <w:lang w:val="fr-FR"/>
        </w:rPr>
        <w:t>Josipović</w:t>
      </w:r>
      <w:proofErr w:type="spellEnd"/>
      <w:r w:rsidRPr="00EF227E">
        <w:rPr>
          <w:i/>
          <w:iCs/>
          <w:lang w:val="fr-FR"/>
        </w:rPr>
        <w:t xml:space="preserve"> c. Serbie </w:t>
      </w:r>
      <w:r w:rsidRPr="00EF227E">
        <w:rPr>
          <w:lang w:val="fr-FR"/>
        </w:rPr>
        <w:t>(déc.), nº 18369/07, 4 mars 2008).</w:t>
      </w:r>
    </w:p>
    <w:p w:rsidR="000C3142" w:rsidRPr="00EF227E" w:rsidRDefault="000C3142" w:rsidP="00EF227E">
      <w:pPr>
        <w:pStyle w:val="ECHRPara"/>
        <w:rPr>
          <w:lang w:val="fr-FR"/>
        </w:rPr>
      </w:pPr>
      <w:r w:rsidRPr="00EF227E">
        <w:rPr>
          <w:lang w:val="fr-FR"/>
        </w:rPr>
        <w:t>Compte tenu de ce qui précède, il y a lieu de rayer ces requêtes du rôle.</w:t>
      </w:r>
    </w:p>
    <w:p w:rsidR="000C3142" w:rsidRPr="00EF227E" w:rsidRDefault="000C3142" w:rsidP="00EF227E">
      <w:pPr>
        <w:pStyle w:val="JuParaLast"/>
        <w:rPr>
          <w:lang w:val="fr-FR"/>
        </w:rPr>
      </w:pPr>
      <w:r w:rsidRPr="00EF227E">
        <w:rPr>
          <w:lang w:val="fr-FR"/>
        </w:rPr>
        <w:t>Par ces motifs, la Cour, à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unanimité,</w:t>
      </w:r>
    </w:p>
    <w:p w:rsidR="000C3142" w:rsidRPr="00EF227E" w:rsidRDefault="000C3142" w:rsidP="00EF227E">
      <w:pPr>
        <w:pStyle w:val="DecList"/>
        <w:rPr>
          <w:lang w:val="fr-FR"/>
        </w:rPr>
      </w:pPr>
      <w:r w:rsidRPr="00EF227E">
        <w:rPr>
          <w:i/>
          <w:iCs/>
          <w:lang w:val="fr-FR"/>
        </w:rPr>
        <w:t xml:space="preserve">Décide </w:t>
      </w:r>
      <w:r w:rsidRPr="00EF227E">
        <w:rPr>
          <w:lang w:val="fr-FR"/>
        </w:rPr>
        <w:t>de joindre les requêtes ;</w:t>
      </w:r>
    </w:p>
    <w:p w:rsidR="000C3142" w:rsidRPr="00EF227E" w:rsidRDefault="000C3142" w:rsidP="00EF227E">
      <w:pPr>
        <w:pStyle w:val="DecList"/>
        <w:rPr>
          <w:lang w:val="fr-FR"/>
        </w:rPr>
      </w:pPr>
      <w:r w:rsidRPr="00EF227E">
        <w:rPr>
          <w:i/>
          <w:iCs/>
          <w:lang w:val="fr-FR"/>
        </w:rPr>
        <w:t xml:space="preserve">Prend acte </w:t>
      </w:r>
      <w:r w:rsidRPr="00EF227E">
        <w:rPr>
          <w:lang w:val="fr-FR"/>
        </w:rPr>
        <w:t>des termes des déclarations du gouvernement défendeur et des modalités prévues pour assurer le respect des engagements ainsi pris ;</w:t>
      </w:r>
    </w:p>
    <w:p w:rsidR="000C3142" w:rsidRPr="00EF227E" w:rsidRDefault="000C3142" w:rsidP="00EF227E">
      <w:pPr>
        <w:pStyle w:val="DecList"/>
        <w:rPr>
          <w:lang w:val="fr-FR"/>
        </w:rPr>
      </w:pPr>
      <w:r w:rsidRPr="00EF227E">
        <w:rPr>
          <w:i/>
          <w:iCs/>
          <w:lang w:val="fr-FR"/>
        </w:rPr>
        <w:t xml:space="preserve">Décide </w:t>
      </w:r>
      <w:r w:rsidRPr="00EF227E">
        <w:rPr>
          <w:lang w:val="fr-FR"/>
        </w:rPr>
        <w:t>de rayer les requêtes du rôle en vertu de l</w:t>
      </w:r>
      <w:r w:rsidR="00EF227E" w:rsidRPr="00EF227E">
        <w:rPr>
          <w:lang w:val="fr-FR"/>
        </w:rPr>
        <w:t>’</w:t>
      </w:r>
      <w:r w:rsidRPr="00EF227E">
        <w:rPr>
          <w:lang w:val="fr-FR"/>
        </w:rPr>
        <w:t>article 37 § 1 c) de la Convention.</w:t>
      </w:r>
    </w:p>
    <w:p w:rsidR="00023AD3" w:rsidRPr="00EF227E" w:rsidRDefault="00BB1021" w:rsidP="00EF227E">
      <w:pPr>
        <w:pStyle w:val="JuParaLast"/>
        <w:rPr>
          <w:lang w:val="fr-FR"/>
        </w:rPr>
      </w:pPr>
      <w:r w:rsidRPr="00EF227E">
        <w:rPr>
          <w:szCs w:val="24"/>
          <w:lang w:val="fr-FR"/>
        </w:rPr>
        <w:t xml:space="preserve">Fait en français puis communiqué par écrit le </w:t>
      </w:r>
      <w:r w:rsidR="000C3142" w:rsidRPr="00EF227E">
        <w:rPr>
          <w:szCs w:val="24"/>
          <w:lang w:val="fr-FR"/>
        </w:rPr>
        <w:t>17 janvier 2019</w:t>
      </w:r>
      <w:r w:rsidRPr="00EF227E">
        <w:rPr>
          <w:lang w:val="fr-FR"/>
        </w:rPr>
        <w:t>.</w:t>
      </w:r>
    </w:p>
    <w:p w:rsidR="00023AD3" w:rsidRPr="00EF227E" w:rsidRDefault="000C3142" w:rsidP="00EF227E">
      <w:pPr>
        <w:pStyle w:val="JuSigned"/>
        <w:keepNext/>
        <w:keepLines/>
        <w:rPr>
          <w:szCs w:val="24"/>
          <w:lang w:val="fr-FR"/>
        </w:rPr>
      </w:pPr>
      <w:r w:rsidRPr="00EF227E">
        <w:rPr>
          <w:lang w:val="fr-FR"/>
        </w:rPr>
        <w:tab/>
        <w:t xml:space="preserve">Liv </w:t>
      </w:r>
      <w:proofErr w:type="spellStart"/>
      <w:r w:rsidRPr="00EF227E">
        <w:rPr>
          <w:lang w:val="fr-FR"/>
        </w:rPr>
        <w:t>Tigerstedt</w:t>
      </w:r>
      <w:proofErr w:type="spellEnd"/>
      <w:r w:rsidR="00023AD3" w:rsidRPr="00EF227E">
        <w:rPr>
          <w:lang w:val="fr-FR"/>
        </w:rPr>
        <w:tab/>
      </w:r>
      <w:proofErr w:type="spellStart"/>
      <w:r w:rsidRPr="00EF227E">
        <w:rPr>
          <w:szCs w:val="24"/>
          <w:lang w:val="fr-FR"/>
        </w:rPr>
        <w:t>Aleš</w:t>
      </w:r>
      <w:proofErr w:type="spellEnd"/>
      <w:r w:rsidRPr="00EF227E">
        <w:rPr>
          <w:szCs w:val="24"/>
          <w:lang w:val="fr-FR"/>
        </w:rPr>
        <w:t xml:space="preserve"> </w:t>
      </w:r>
      <w:proofErr w:type="spellStart"/>
      <w:r w:rsidRPr="00EF227E">
        <w:rPr>
          <w:szCs w:val="24"/>
          <w:lang w:val="fr-FR"/>
        </w:rPr>
        <w:t>Pejchal</w:t>
      </w:r>
      <w:proofErr w:type="spellEnd"/>
      <w:r w:rsidRPr="00EF227E">
        <w:rPr>
          <w:szCs w:val="24"/>
          <w:lang w:val="fr-FR"/>
        </w:rPr>
        <w:t xml:space="preserve"> </w:t>
      </w:r>
      <w:r w:rsidR="00023AD3" w:rsidRPr="00EF227E">
        <w:rPr>
          <w:lang w:val="fr-FR"/>
        </w:rPr>
        <w:br/>
      </w:r>
      <w:r w:rsidR="00023AD3" w:rsidRPr="00EF227E">
        <w:rPr>
          <w:lang w:val="fr-FR"/>
        </w:rPr>
        <w:tab/>
      </w:r>
      <w:r w:rsidRPr="00EF227E">
        <w:rPr>
          <w:szCs w:val="24"/>
          <w:lang w:val="fr-FR"/>
        </w:rPr>
        <w:t xml:space="preserve">Greffière adjointe </w:t>
      </w:r>
      <w:proofErr w:type="spellStart"/>
      <w:r w:rsidRPr="00EF227E">
        <w:rPr>
          <w:szCs w:val="24"/>
          <w:lang w:val="fr-FR"/>
        </w:rPr>
        <w:t>f.f</w:t>
      </w:r>
      <w:proofErr w:type="spellEnd"/>
      <w:r w:rsidRPr="00EF227E">
        <w:rPr>
          <w:szCs w:val="24"/>
          <w:lang w:val="fr-FR"/>
        </w:rPr>
        <w:t>.</w:t>
      </w:r>
      <w:r w:rsidR="00023AD3" w:rsidRPr="00EF227E">
        <w:rPr>
          <w:lang w:val="fr-FR"/>
        </w:rPr>
        <w:tab/>
      </w:r>
      <w:r w:rsidRPr="00EF227E">
        <w:rPr>
          <w:szCs w:val="24"/>
          <w:lang w:val="fr-FR"/>
        </w:rPr>
        <w:t>Président</w:t>
      </w:r>
    </w:p>
    <w:p w:rsidR="00023AD3" w:rsidRPr="00EF227E" w:rsidRDefault="00023AD3" w:rsidP="00EF227E">
      <w:pPr>
        <w:rPr>
          <w:lang w:val="fr-FR"/>
        </w:rPr>
      </w:pPr>
    </w:p>
    <w:p w:rsidR="00240AE5" w:rsidRPr="00EF227E" w:rsidRDefault="00240AE5" w:rsidP="00EF227E">
      <w:pPr>
        <w:rPr>
          <w:lang w:val="fr-FR"/>
        </w:rPr>
        <w:sectPr w:rsidR="00240AE5" w:rsidRPr="00EF227E" w:rsidSect="00A4477A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0C3142" w:rsidRPr="00EF227E" w:rsidRDefault="000C3142" w:rsidP="00EF227E">
      <w:pPr>
        <w:pStyle w:val="JuTitle"/>
        <w:rPr>
          <w:lang w:val="fr-FR"/>
        </w:rPr>
      </w:pPr>
      <w:r w:rsidRPr="00EF227E">
        <w:rPr>
          <w:lang w:val="fr-FR"/>
        </w:rPr>
        <w:lastRenderedPageBreak/>
        <w:t>ANNEXE</w:t>
      </w:r>
    </w:p>
    <w:tbl>
      <w:tblPr>
        <w:tblStyle w:val="ECHRListTable"/>
        <w:tblpPr w:leftFromText="180" w:rightFromText="180" w:vertAnchor="text" w:horzAnchor="margin" w:tblpY="176"/>
        <w:tblW w:w="12338" w:type="dxa"/>
        <w:tblLayout w:type="fixed"/>
        <w:tblLook w:val="04A0" w:firstRow="1" w:lastRow="0" w:firstColumn="1" w:lastColumn="0" w:noHBand="0" w:noVBand="1"/>
      </w:tblPr>
      <w:tblGrid>
        <w:gridCol w:w="409"/>
        <w:gridCol w:w="1259"/>
        <w:gridCol w:w="1579"/>
        <w:gridCol w:w="1843"/>
        <w:gridCol w:w="1400"/>
        <w:gridCol w:w="1378"/>
        <w:gridCol w:w="1333"/>
        <w:gridCol w:w="1276"/>
        <w:gridCol w:w="1861"/>
      </w:tblGrid>
      <w:tr w:rsidR="00240AE5" w:rsidRPr="00EF227E" w:rsidTr="004D6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" w:type="dxa"/>
          </w:tcPr>
          <w:p w:rsidR="00240AE5" w:rsidRPr="00EF227E" w:rsidRDefault="00240AE5" w:rsidP="00EF227E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sz w:val="18"/>
                <w:szCs w:val="18"/>
                <w:lang w:val="fr-FR"/>
              </w:rPr>
              <w:t>N</w:t>
            </w:r>
            <w:r w:rsidRPr="00EF227E">
              <w:rPr>
                <w:sz w:val="18"/>
                <w:szCs w:val="18"/>
                <w:vertAlign w:val="superscript"/>
                <w:lang w:val="fr-FR"/>
              </w:rPr>
              <w:t>o</w:t>
            </w:r>
          </w:p>
        </w:tc>
        <w:tc>
          <w:tcPr>
            <w:tcW w:w="1259" w:type="dxa"/>
          </w:tcPr>
          <w:p w:rsidR="00240AE5" w:rsidRPr="00EF227E" w:rsidRDefault="00240AE5" w:rsidP="00EF227E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sz w:val="16"/>
                <w:szCs w:val="20"/>
                <w:lang w:val="fr-FR"/>
              </w:rPr>
              <w:t>Numéro et date d</w:t>
            </w:r>
            <w:r w:rsidR="00EF227E" w:rsidRPr="00EF227E">
              <w:rPr>
                <w:sz w:val="16"/>
                <w:szCs w:val="20"/>
                <w:lang w:val="fr-FR"/>
              </w:rPr>
              <w:t>’</w:t>
            </w:r>
            <w:r w:rsidRPr="00EF227E">
              <w:rPr>
                <w:sz w:val="16"/>
                <w:szCs w:val="20"/>
                <w:lang w:val="fr-FR"/>
              </w:rPr>
              <w:t>introduction de la requête</w:t>
            </w:r>
          </w:p>
        </w:tc>
        <w:tc>
          <w:tcPr>
            <w:tcW w:w="1579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sz w:val="16"/>
                <w:szCs w:val="20"/>
                <w:lang w:val="fr-FR"/>
              </w:rPr>
              <w:t xml:space="preserve">Nom du requérant et date de naissance </w:t>
            </w:r>
          </w:p>
        </w:tc>
        <w:tc>
          <w:tcPr>
            <w:tcW w:w="1843" w:type="dxa"/>
          </w:tcPr>
          <w:p w:rsidR="00240AE5" w:rsidRPr="00EF227E" w:rsidRDefault="00240AE5" w:rsidP="00EF227E">
            <w:pPr>
              <w:jc w:val="center"/>
              <w:rPr>
                <w:sz w:val="16"/>
                <w:szCs w:val="16"/>
                <w:lang w:val="fr-FR"/>
              </w:rPr>
            </w:pPr>
            <w:r w:rsidRPr="00EF227E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400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  <w:r w:rsidRPr="00EF227E">
              <w:rPr>
                <w:sz w:val="16"/>
                <w:szCs w:val="20"/>
                <w:lang w:val="fr-FR"/>
              </w:rPr>
              <w:t>Date de réception de la déclaration du Gouvernement</w:t>
            </w:r>
          </w:p>
        </w:tc>
        <w:tc>
          <w:tcPr>
            <w:tcW w:w="1378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sz w:val="16"/>
                <w:szCs w:val="20"/>
                <w:lang w:val="fr-FR"/>
              </w:rPr>
              <w:t>Date de réception de la lettre du requérant</w:t>
            </w:r>
          </w:p>
        </w:tc>
        <w:tc>
          <w:tcPr>
            <w:tcW w:w="1333" w:type="dxa"/>
          </w:tcPr>
          <w:p w:rsidR="00240AE5" w:rsidRPr="00EF227E" w:rsidRDefault="00240AE5" w:rsidP="00EF227E">
            <w:pPr>
              <w:jc w:val="center"/>
              <w:rPr>
                <w:rFonts w:cstheme="minorHAnsi"/>
                <w:sz w:val="16"/>
                <w:szCs w:val="16"/>
                <w:lang w:val="fr-FR"/>
              </w:rPr>
            </w:pPr>
            <w:r w:rsidRPr="00EF227E">
              <w:rPr>
                <w:rFonts w:cstheme="minorHAnsi"/>
                <w:sz w:val="16"/>
                <w:szCs w:val="16"/>
                <w:lang w:val="fr-FR"/>
              </w:rPr>
              <w:t>Montant alloué pour dommage matériel par requérant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cstheme="minorHAnsi"/>
                <w:sz w:val="16"/>
                <w:szCs w:val="16"/>
                <w:lang w:val="fr-FR"/>
              </w:rPr>
              <w:t xml:space="preserve">(en </w:t>
            </w:r>
            <w:r w:rsidRPr="00EF227E">
              <w:rPr>
                <w:bCs/>
                <w:sz w:val="16"/>
                <w:szCs w:val="16"/>
                <w:lang w:val="fr-FR" w:eastAsia="fr-FR"/>
              </w:rPr>
              <w:t>euros</w:t>
            </w: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1276" w:type="dxa"/>
          </w:tcPr>
          <w:p w:rsidR="00EF227E" w:rsidRPr="00EF227E" w:rsidRDefault="00240AE5" w:rsidP="00EF227E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EF227E">
              <w:rPr>
                <w:bCs/>
                <w:sz w:val="16"/>
                <w:szCs w:val="20"/>
                <w:lang w:val="fr-FR" w:eastAsia="fr-FR"/>
              </w:rPr>
              <w:t>Montant alloué pour dommage moral par requérant</w:t>
            </w:r>
          </w:p>
          <w:p w:rsidR="00240AE5" w:rsidRPr="00EF227E" w:rsidRDefault="00240AE5" w:rsidP="00EF227E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  <w:r w:rsidRPr="00EF227E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  <w:lang w:val="fr-FR"/>
              </w:rPr>
              <w:endnoteReference w:id="1"/>
            </w:r>
          </w:p>
        </w:tc>
        <w:tc>
          <w:tcPr>
            <w:tcW w:w="1861" w:type="dxa"/>
          </w:tcPr>
          <w:p w:rsidR="00240AE5" w:rsidRPr="00EF227E" w:rsidRDefault="00240AE5" w:rsidP="00EF227E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EF227E">
              <w:rPr>
                <w:bCs/>
                <w:sz w:val="16"/>
                <w:szCs w:val="20"/>
                <w:lang w:val="fr-FR" w:eastAsia="fr-FR"/>
              </w:rPr>
              <w:t>Montant alloué pour frais et dépens</w:t>
            </w:r>
          </w:p>
          <w:p w:rsidR="00240AE5" w:rsidRPr="00EF227E" w:rsidRDefault="00240AE5" w:rsidP="00EF227E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EF227E">
              <w:rPr>
                <w:bCs/>
                <w:sz w:val="16"/>
                <w:szCs w:val="20"/>
                <w:lang w:val="fr-FR" w:eastAsia="fr-FR"/>
              </w:rPr>
              <w:t>par requête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EF227E">
              <w:rPr>
                <w:rFonts w:ascii="Times New Roman" w:eastAsia="PMingLiU" w:hAnsi="Times New Roman" w:cs="Times New Roman"/>
                <w:sz w:val="12"/>
                <w:szCs w:val="16"/>
                <w:lang w:val="fr-FR"/>
              </w:rPr>
              <w:t>)</w:t>
            </w:r>
            <w:r w:rsidRPr="00EF227E">
              <w:rPr>
                <w:rStyle w:val="Rimandonotadichiusura"/>
                <w:rFonts w:ascii="Times New Roman" w:eastAsia="PMingLiU" w:hAnsi="Times New Roman" w:cs="Times New Roman"/>
                <w:sz w:val="12"/>
                <w:szCs w:val="16"/>
                <w:lang w:val="fr-FR"/>
              </w:rPr>
              <w:endnoteReference w:id="2"/>
            </w:r>
          </w:p>
        </w:tc>
      </w:tr>
      <w:tr w:rsidR="00240AE5" w:rsidRPr="00EF227E" w:rsidTr="004D6FA0">
        <w:tc>
          <w:tcPr>
            <w:tcW w:w="409" w:type="dxa"/>
          </w:tcPr>
          <w:p w:rsidR="00240AE5" w:rsidRPr="00EF227E" w:rsidRDefault="00240AE5" w:rsidP="00EF227E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WECLListStart"/>
            <w:bookmarkEnd w:id="1"/>
          </w:p>
        </w:tc>
        <w:tc>
          <w:tcPr>
            <w:tcW w:w="1259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24318/11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12/04/2011</w:t>
            </w:r>
          </w:p>
        </w:tc>
        <w:tc>
          <w:tcPr>
            <w:tcW w:w="1579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Angelo NARDI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14/03/1944</w:t>
            </w:r>
          </w:p>
        </w:tc>
        <w:tc>
          <w:tcPr>
            <w:tcW w:w="1843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Veschi</w:t>
            </w:r>
            <w:proofErr w:type="spellEnd"/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Luciana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San Giustino (PG)</w:t>
            </w:r>
          </w:p>
        </w:tc>
        <w:tc>
          <w:tcPr>
            <w:tcW w:w="1400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07/09/2017</w:t>
            </w:r>
          </w:p>
        </w:tc>
        <w:tc>
          <w:tcPr>
            <w:tcW w:w="1378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29/10/2018</w:t>
            </w:r>
          </w:p>
        </w:tc>
        <w:tc>
          <w:tcPr>
            <w:tcW w:w="1333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11 785</w:t>
            </w:r>
          </w:p>
        </w:tc>
        <w:tc>
          <w:tcPr>
            <w:tcW w:w="1276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5 000</w:t>
            </w:r>
          </w:p>
        </w:tc>
        <w:tc>
          <w:tcPr>
            <w:tcW w:w="1861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1 000</w:t>
            </w:r>
          </w:p>
        </w:tc>
      </w:tr>
      <w:tr w:rsidR="00240AE5" w:rsidRPr="00EF227E" w:rsidTr="004D6FA0">
        <w:tc>
          <w:tcPr>
            <w:tcW w:w="409" w:type="dxa"/>
          </w:tcPr>
          <w:p w:rsidR="00240AE5" w:rsidRPr="00EF227E" w:rsidRDefault="00240AE5" w:rsidP="00EF227E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59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76736/11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05/12/2011</w:t>
            </w:r>
          </w:p>
        </w:tc>
        <w:tc>
          <w:tcPr>
            <w:tcW w:w="1579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WILLIAM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19/06/1937</w:t>
            </w:r>
          </w:p>
        </w:tc>
        <w:tc>
          <w:tcPr>
            <w:tcW w:w="1843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Faggella</w:t>
            </w:r>
            <w:proofErr w:type="spellEnd"/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Enzo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Potenza</w:t>
            </w:r>
          </w:p>
        </w:tc>
        <w:tc>
          <w:tcPr>
            <w:tcW w:w="1400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29/08/2018</w:t>
            </w:r>
          </w:p>
        </w:tc>
        <w:tc>
          <w:tcPr>
            <w:tcW w:w="1378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02/10/2018</w:t>
            </w:r>
          </w:p>
        </w:tc>
        <w:tc>
          <w:tcPr>
            <w:tcW w:w="1333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8 320</w:t>
            </w:r>
          </w:p>
        </w:tc>
        <w:tc>
          <w:tcPr>
            <w:tcW w:w="1276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5 000</w:t>
            </w:r>
          </w:p>
        </w:tc>
        <w:tc>
          <w:tcPr>
            <w:tcW w:w="1861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</w:tr>
      <w:tr w:rsidR="00240AE5" w:rsidRPr="00EF227E" w:rsidTr="004D6FA0">
        <w:tc>
          <w:tcPr>
            <w:tcW w:w="409" w:type="dxa"/>
          </w:tcPr>
          <w:p w:rsidR="00240AE5" w:rsidRPr="00EF227E" w:rsidRDefault="00240AE5" w:rsidP="00EF227E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59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76006/14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01/12/2014</w:t>
            </w:r>
          </w:p>
        </w:tc>
        <w:tc>
          <w:tcPr>
            <w:tcW w:w="1579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Nicola BOSCO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06/02/1937</w:t>
            </w:r>
          </w:p>
        </w:tc>
        <w:tc>
          <w:tcPr>
            <w:tcW w:w="1843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Lombardi Dionisio</w:t>
            </w:r>
          </w:p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Pontelandolfo</w:t>
            </w:r>
            <w:proofErr w:type="spellEnd"/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(BN)</w:t>
            </w:r>
          </w:p>
        </w:tc>
        <w:tc>
          <w:tcPr>
            <w:tcW w:w="1400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29/09/2018</w:t>
            </w:r>
          </w:p>
        </w:tc>
        <w:tc>
          <w:tcPr>
            <w:tcW w:w="1378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02/10/2018</w:t>
            </w:r>
          </w:p>
        </w:tc>
        <w:tc>
          <w:tcPr>
            <w:tcW w:w="1333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11 061</w:t>
            </w:r>
          </w:p>
        </w:tc>
        <w:tc>
          <w:tcPr>
            <w:tcW w:w="1276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5 000</w:t>
            </w:r>
          </w:p>
        </w:tc>
        <w:tc>
          <w:tcPr>
            <w:tcW w:w="1861" w:type="dxa"/>
          </w:tcPr>
          <w:p w:rsidR="00240AE5" w:rsidRPr="00EF227E" w:rsidRDefault="00240AE5" w:rsidP="00EF227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EF227E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</w:tr>
    </w:tbl>
    <w:p w:rsidR="00240AE5" w:rsidRPr="00EF227E" w:rsidRDefault="00240AE5" w:rsidP="00EF227E">
      <w:pPr>
        <w:pStyle w:val="ECHRTitleCentre2"/>
        <w:contextualSpacing/>
        <w:jc w:val="both"/>
        <w:rPr>
          <w:lang w:val="fr-FR"/>
        </w:rPr>
      </w:pPr>
    </w:p>
    <w:p w:rsidR="00A71632" w:rsidRPr="00EF227E" w:rsidRDefault="00A71632" w:rsidP="00EF227E">
      <w:pPr>
        <w:rPr>
          <w:lang w:val="fr-FR"/>
        </w:rPr>
      </w:pPr>
    </w:p>
    <w:p w:rsidR="004D15F3" w:rsidRPr="00EF227E" w:rsidRDefault="004D15F3" w:rsidP="00EF227E">
      <w:pPr>
        <w:rPr>
          <w:lang w:val="fr-FR"/>
        </w:rPr>
      </w:pPr>
    </w:p>
    <w:sectPr w:rsidR="004D15F3" w:rsidRPr="00EF227E" w:rsidSect="00240AE5">
      <w:headerReference w:type="default" r:id="rId16"/>
      <w:headerReference w:type="first" r:id="rId17"/>
      <w:pgSz w:w="16838" w:h="11906" w:orient="landscape" w:code="9"/>
      <w:pgMar w:top="1985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48" w:rsidRPr="00413286" w:rsidRDefault="00CF0948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CF0948" w:rsidRPr="00413286" w:rsidRDefault="00CF0948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  <w:endnote w:id="1">
    <w:p w:rsidR="00240AE5" w:rsidRPr="00840F19" w:rsidRDefault="00240AE5" w:rsidP="00240AE5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50685E">
        <w:rPr>
          <w:rStyle w:val="Rimandonotadichiusura"/>
          <w:rFonts w:ascii="Times New Roman" w:hAnsi="Times New Roman" w:cs="Times New Roman"/>
          <w:sz w:val="16"/>
          <w:szCs w:val="16"/>
          <w:vertAlign w:val="baseline"/>
          <w:lang w:val="fr-FR"/>
        </w:rPr>
        <w:endnoteRef/>
      </w:r>
      <w:r w:rsidRPr="00840F19">
        <w:rPr>
          <w:rFonts w:ascii="Times New Roman" w:hAnsi="Times New Roman" w:cs="Times New Roman"/>
          <w:sz w:val="16"/>
          <w:szCs w:val="16"/>
          <w:lang w:val="fr-FR"/>
        </w:rPr>
        <w:t>.  Plus tout montant pouvant être dû à titre d’impôt par la partie requérante.</w:t>
      </w:r>
    </w:p>
  </w:endnote>
  <w:endnote w:id="2">
    <w:p w:rsidR="00240AE5" w:rsidRPr="00840F19" w:rsidRDefault="00240AE5" w:rsidP="00240AE5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50685E">
        <w:rPr>
          <w:rStyle w:val="Rimandonotadichiusura"/>
          <w:rFonts w:ascii="Times New Roman" w:hAnsi="Times New Roman" w:cs="Times New Roman"/>
          <w:sz w:val="16"/>
          <w:szCs w:val="16"/>
          <w:vertAlign w:val="baseline"/>
          <w:lang w:val="fr-FR"/>
        </w:rPr>
        <w:endnoteRef/>
      </w:r>
      <w:r w:rsidRPr="00840F19">
        <w:rPr>
          <w:rFonts w:ascii="Times New Roman" w:hAnsi="Times New Roman" w:cs="Times New Roman"/>
          <w:sz w:val="16"/>
          <w:szCs w:val="16"/>
          <w:lang w:val="fr-FR"/>
        </w:rPr>
        <w:t>.  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42" w:rsidRPr="000C3142" w:rsidRDefault="000C3142" w:rsidP="0020718E">
    <w:pPr>
      <w:jc w:val="center"/>
      <w:rPr>
        <w:lang w:val="fr-FR"/>
      </w:rPr>
    </w:pP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48" w:rsidRPr="00413286" w:rsidRDefault="00CF0948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CF0948" w:rsidRPr="00413286" w:rsidRDefault="00CF0948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C3142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E6B9B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 w:rsidR="005B0A4A">
      <w:rPr>
        <w:lang w:val="fr-FR"/>
      </w:rPr>
      <w:t>NARDI c. ITALIE ET AUTRES REQU</w:t>
    </w:r>
    <w:r w:rsidR="005B0A4A">
      <w:rPr>
        <w:rFonts w:cstheme="minorHAnsi"/>
        <w:lang w:val="fr-FR"/>
      </w:rPr>
      <w:t>Ê</w:t>
    </w:r>
    <w:r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A025B9">
      <w:rPr>
        <w:lang w:val="fr-FR"/>
      </w:rPr>
      <w:t xml:space="preserve">NARDI c. ITALIE </w:t>
    </w:r>
    <w:r w:rsidR="00240AE5">
      <w:rPr>
        <w:lang w:val="fr-FR"/>
      </w:rPr>
      <w:t>ET AUTRES REQU</w:t>
    </w:r>
    <w:r w:rsidR="00240AE5">
      <w:rPr>
        <w:rFonts w:cstheme="minorHAnsi"/>
        <w:lang w:val="fr-FR"/>
      </w:rPr>
      <w:t>Ê</w:t>
    </w:r>
    <w:r w:rsidR="000C3142">
      <w:rPr>
        <w:lang w:val="fr-FR"/>
      </w:rPr>
      <w:t>TES</w:t>
    </w:r>
    <w:r w:rsidRPr="00413286">
      <w:rPr>
        <w:lang w:val="fr-FR"/>
      </w:rPr>
      <w:tab/>
    </w:r>
    <w:r w:rsidR="000C3142">
      <w:rPr>
        <w:rStyle w:val="Numeropagina"/>
        <w:lang w:val="fr-FR"/>
      </w:rPr>
      <w:fldChar w:fldCharType="begin"/>
    </w:r>
    <w:r w:rsidR="000C3142">
      <w:rPr>
        <w:rStyle w:val="Numeropagina"/>
        <w:lang w:val="fr-FR"/>
      </w:rPr>
      <w:instrText xml:space="preserve"> PAGE </w:instrText>
    </w:r>
    <w:r w:rsidR="000C3142">
      <w:rPr>
        <w:rStyle w:val="Numeropagina"/>
        <w:lang w:val="fr-FR"/>
      </w:rPr>
      <w:fldChar w:fldCharType="separate"/>
    </w:r>
    <w:r w:rsidR="005E6B9B">
      <w:rPr>
        <w:rStyle w:val="Numeropagina"/>
        <w:noProof/>
        <w:lang w:val="fr-FR"/>
      </w:rPr>
      <w:t>3</w:t>
    </w:r>
    <w:r w:rsidR="000C3142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42" w:rsidRPr="00A45145" w:rsidRDefault="000C314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07037F4" wp14:editId="7C1F5E2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E5" w:rsidRPr="00413286" w:rsidRDefault="00240AE5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>
      <w:rPr>
        <w:lang w:val="fr-FR"/>
      </w:rPr>
      <w:t>NARDI c. ITALIE  ET AUTRES REQUETES</w:t>
    </w:r>
    <w:r w:rsidRPr="00413286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>
      <w:rPr>
        <w:rStyle w:val="Numeropagina"/>
        <w:noProof/>
        <w:lang w:val="fr-FR"/>
      </w:rPr>
      <w:t>5</w:t>
    </w:r>
    <w:r>
      <w:rPr>
        <w:rStyle w:val="Numeropagina"/>
        <w:lang w:val="fr-F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4A" w:rsidRPr="00413286" w:rsidRDefault="005B0A4A" w:rsidP="005B0A4A">
    <w:pPr>
      <w:pStyle w:val="JuHeaderLandscape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E6B9B">
      <w:rPr>
        <w:rStyle w:val="Numeropagina"/>
        <w:noProof/>
        <w:lang w:val="fr-FR"/>
      </w:rPr>
      <w:t>4</w:t>
    </w:r>
    <w:r>
      <w:rPr>
        <w:rStyle w:val="Numeropagina"/>
        <w:lang w:val="fr-FR"/>
      </w:rPr>
      <w:fldChar w:fldCharType="end"/>
    </w:r>
    <w:r w:rsidRPr="00413286">
      <w:rPr>
        <w:lang w:val="fr-FR"/>
      </w:rPr>
      <w:tab/>
      <w:t xml:space="preserve">DÉCISION </w:t>
    </w:r>
    <w:r>
      <w:rPr>
        <w:lang w:val="fr-FR"/>
      </w:rPr>
      <w:t>NARDI c. ITALIE ET AUTRES REQU</w:t>
    </w:r>
    <w:r>
      <w:rPr>
        <w:rFonts w:cstheme="minorHAnsi"/>
        <w:lang w:val="fr-FR"/>
      </w:rPr>
      <w:t>Ê</w:t>
    </w:r>
    <w:r>
      <w:rPr>
        <w:lang w:val="fr-FR"/>
      </w:rPr>
      <w:t>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3C17B78"/>
    <w:multiLevelType w:val="hybridMultilevel"/>
    <w:tmpl w:val="043CD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1"/>
  </w:docVars>
  <w:rsids>
    <w:rsidRoot w:val="000C314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3142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5C65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28C3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0AE5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2CC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685E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0A4A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6B9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025B9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278A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250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0948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F227E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46C1-A53D-48AF-BB05-B8508CCD1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A258E-A52A-4ABF-8C0E-DFD9A98E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37308-5ED5-4BA7-AC37-EC2A8510B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F99A7-FDFE-4566-9E02-82CABF97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2019-06-06T15:02:00Z</dcterms:created>
  <dcterms:modified xsi:type="dcterms:W3CDTF">2019-06-06T15:02:00Z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24318/11</vt:lpwstr>
  </property>
  <property fmtid="{D5CDD505-2E9C-101B-9397-08002B2CF9AE}" pid="4" name="CASEID">
    <vt:lpwstr>713888</vt:lpwstr>
  </property>
  <property fmtid="{D5CDD505-2E9C-101B-9397-08002B2CF9AE}" pid="5" name="ContentTypeId">
    <vt:lpwstr>0x010100558EB02BDB9E204AB350EDD385B68E10</vt:lpwstr>
  </property>
</Properties>
</file>